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6A34A"/>
        </w:rPr>
        <w:t>SeedMatchGroup</w:t>
      </w:r>
    </w:p>
    <w:p>
      <w:r>
        <w:rPr>
          <w:b/>
          <w:sz w:val="40"/>
        </w:rPr>
        <w:t>Modèle d'appel d'offres — Agriculture commerciale</w:t>
      </w:r>
    </w:p>
    <w:p>
      <w:r>
        <w:rPr>
          <w:i/>
          <w:color w:val="475569"/>
        </w:rPr>
        <w:t>Demande de cotation — Semences, serres, irrigation et infrastructures agricoles</w:t>
      </w:r>
    </w:p>
    <w:p>
      <w:r>
        <w:t>Utilisez ce modèle pour émettre une demande de cotation professionnelle et neutre auprès de fournisseurs qualifiés via SeedMatchGroup. Remplissez chaque section aussi précisément que possible; plus les informations sont détaillées, plus les offres seront précises et comparables. Retournez le document rempli à votre spécialiste sourcing SeedMatch.</w:t>
      </w:r>
    </w:p>
    <w:p>
      <w:r>
        <w:rPr>
          <w:b/>
          <w:color w:val="16A34A"/>
          <w:sz w:val="26"/>
        </w:rPr>
        <w:t>1. Identification acheteur &amp; projet</w:t>
      </w:r>
    </w:p>
    <w:p>
      <w:pPr>
        <w:pStyle w:val="ListBullet"/>
      </w:pPr>
      <w:r>
        <w:t>Raison sociale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Adresse légale / pays d'exploitation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Contact principal : nom, fonction, e-mail, téléphone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Nom du projet et référence interne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Localisation du site (ville, région, pays, coordonnées)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Étape du projet (faisabilité / conception / achats / exécution)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Date cible de décision et fenêtre de livraison requise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2. Présentation du projet</w:t>
      </w:r>
    </w:p>
    <w:p>
      <w:pPr>
        <w:pStyle w:val="ListBullet"/>
      </w:pPr>
      <w:r>
        <w:t>Type de projet (serre, plein champ, pépinière, usine de traitement de semences, irrigation, station de conditionnement, autre)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Superficie totale (hectares) et surface couverte / plantée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Culture(s), marché cible et usage final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CAPEX total estimé (USD) et statut du financement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Programme gouvernemental, incitatif ou appel d'offres (le cas échéant)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Exigences de durabilité, certification ou ESG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3. Périmètre technique de fourniture</w:t>
      </w:r>
    </w:p>
    <w:p>
      <w:pPr>
        <w:pStyle w:val="ListBullet"/>
      </w:pPr>
      <w:r>
        <w:t>Liste détaillée des biens et/ou services requis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Quantités, unités de mesure et tolérances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Spécifications techniques, normes et codes de référence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Garanties de performance (rendement, disponibilité, efficacité)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Plans, fiches techniques ou nomenclature (à joindre)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Installation, mise en service et formation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4. Conditions commerciales</w:t>
      </w:r>
    </w:p>
    <w:p>
      <w:pPr>
        <w:pStyle w:val="ListBullet"/>
      </w:pPr>
      <w:r>
        <w:t>Incoterm demandé (EXW / FCA / FOB / CIF / DAP / DDP)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Adresse de livraison, port de déchargement ou site du projet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Devise préférée (USD / EUR / autre) et modalités de paiement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Durée de garantie et attentes en support après-vente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Pièces détachées, consommables et service sur cycle de vie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Taxes, droits et exigences de contenu local applicables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5. Conformité &amp; documentation</w:t>
      </w:r>
    </w:p>
    <w:p>
      <w:pPr>
        <w:pStyle w:val="ListBullet"/>
      </w:pPr>
      <w:r>
        <w:t>Certification phytosanitaire, ISTA, OCDE ou biologique requise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Restrictions ou préférences de pays d'origine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Permis d'importation, licences et documents douaniers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Assurance qualité, FAT / SAT et exigences d'inspection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Normes santé, sécurité et environnement (HSE)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Assurances (marchandises, caution de bonne exécution, RC pro)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6. Critères de qualification des fournisseurs</w:t>
      </w:r>
    </w:p>
    <w:p>
      <w:pPr>
        <w:pStyle w:val="ListBullet"/>
      </w:pPr>
      <w:r>
        <w:t>Années minimales de projets de référence pertinents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Capacité financière et chiffre d'affaires requis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Capacité de fabrication / production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Présence locale, réseau de service et langues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Durabilité, certifications et historique d'audits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Références sur projets commerciaux comparables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7. Exigences de réponse</w:t>
      </w:r>
    </w:p>
    <w:p>
      <w:pPr>
        <w:pStyle w:val="ListBullet"/>
      </w:pPr>
      <w:r>
        <w:t>Validité de l'offre (recommandé : 60–90 jours)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Format : décomposition détaillée des prix par poste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Délai de livraison entre commande et site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Jalons de paiement alignés sur livraison / mise en service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Hypothèses, exclusions et clarifications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Date limite de remise de l'offre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8. Critères d'évaluation (pondération %)</w:t>
      </w:r>
    </w:p>
    <w:p>
      <w:pPr>
        <w:pStyle w:val="ListBullet"/>
      </w:pPr>
      <w:r>
        <w:t>Coût total de possession 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Conformité technique et performance 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Délai et fiabilité de livraison 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Qualification et références du fournisseur 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Garantie, service et après-vente 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Durabilité, certifications et ESG 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9. Liste des annexes</w:t>
      </w:r>
    </w:p>
    <w:p>
      <w:pPr>
        <w:pStyle w:val="ListBullet"/>
      </w:pPr>
      <w:r>
        <w:t>Plan du site / implantation du projet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Nomenclature ou plans techniques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Données sol, eau et climat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Permis réglementaires ou autorisations d'importation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Modèle de contrat préféré (le cas échéant)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Accord de confidentialité à signer avec le fournisseur</w:t>
      </w:r>
    </w:p>
    <w:p>
      <w:r>
        <w:rPr>
          <w:color w:val="94A3B8"/>
          <w:sz w:val="20"/>
        </w:rPr>
        <w:t>Response: ______________________________________________________________</w:t>
      </w:r>
    </w:p>
    <w:p/>
    <w:p>
      <w:r>
        <w:rPr>
          <w:i/>
          <w:sz w:val="18"/>
        </w:rPr>
        <w:t>Émis par SeedMatchGroup au nom de l'acheteur. Les fournisseurs doivent répondre exclusivement via SeedMatchGroup ; le contact direct avec l'acheteur n'est pas autorisé.</w:t>
      </w:r>
    </w:p>
    <w:p>
      <w:r>
        <w:rPr>
          <w:color w:val="16A34A"/>
          <w:sz w:val="18"/>
        </w:rPr>
        <w:t>En savoir plus : https://seedmatchgroup.com/fr/pourquoi-les-acheteurs-font-confiance-a-seedmatch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